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639"/>
        </w:tabs>
        <w:spacing w:after="0"/>
        <w:rPr>
          <w:rFonts w:hint="default" w:ascii="Times New Roman" w:hAnsi="Times New Roman" w:cs="Times New Roman"/>
          <w:b/>
          <w:i/>
          <w:sz w:val="28"/>
          <w:highlight w:val="none"/>
          <w:lang w:val="en-US" w:eastAsia="zh-CN"/>
        </w:rPr>
      </w:pPr>
      <w:r>
        <w:rPr>
          <w:rFonts w:hint="default" w:ascii="Times New Roman" w:hAnsi="Times New Roman" w:cs="Times New Roman"/>
          <w:b/>
          <w:sz w:val="24"/>
          <w:highlight w:val="none"/>
        </w:rPr>
        <w:t>3GPP TSG-RAN WG2 Meeting #</w:t>
      </w:r>
      <w:r>
        <w:rPr>
          <w:rFonts w:hint="default" w:ascii="Times New Roman" w:hAnsi="Times New Roman" w:cs="Times New Roman"/>
          <w:b/>
          <w:sz w:val="24"/>
          <w:highlight w:val="none"/>
          <w:lang w:eastAsia="zh-CN"/>
        </w:rPr>
        <w:t>10</w:t>
      </w:r>
      <w:r>
        <w:rPr>
          <w:rFonts w:hint="eastAsia" w:ascii="Times New Roman" w:hAnsi="Times New Roman" w:cs="Times New Roman"/>
          <w:b/>
          <w:sz w:val="24"/>
          <w:highlight w:val="none"/>
          <w:lang w:val="en-US" w:eastAsia="zh-CN"/>
        </w:rPr>
        <w:t>9-e</w:t>
      </w:r>
      <w:r>
        <w:rPr>
          <w:rFonts w:hint="default" w:ascii="Times New Roman" w:hAnsi="Times New Roman" w:cs="Times New Roman"/>
          <w:b/>
          <w:i/>
          <w:sz w:val="24"/>
          <w:highlight w:val="none"/>
        </w:rPr>
        <w:t xml:space="preserve"> </w:t>
      </w:r>
      <w:r>
        <w:rPr>
          <w:rFonts w:hint="default" w:ascii="Times New Roman" w:hAnsi="Times New Roman" w:cs="Times New Roman"/>
          <w:b/>
          <w:i/>
          <w:sz w:val="24"/>
          <w:highlight w:val="none"/>
          <w:lang w:val="en-US" w:eastAsia="zh-CN"/>
        </w:rPr>
        <w:t xml:space="preserve">                        </w:t>
      </w:r>
      <w:r>
        <w:rPr>
          <w:rFonts w:hint="default" w:ascii="Times New Roman" w:hAnsi="Times New Roman" w:cs="Times New Roman"/>
          <w:b/>
          <w:sz w:val="24"/>
          <w:highlight w:val="none"/>
          <w:lang w:val="zh-CN" w:eastAsia="zh-CN"/>
        </w:rPr>
        <w:t>R2-</w:t>
      </w:r>
      <w:bookmarkStart w:id="0" w:name="_GoBack"/>
      <w:r>
        <w:rPr>
          <w:rFonts w:hint="default" w:ascii="Times New Roman" w:hAnsi="Times New Roman" w:cs="Times New Roman"/>
          <w:b/>
          <w:sz w:val="24"/>
          <w:highlight w:val="none"/>
          <w:lang w:val="zh-CN" w:eastAsia="zh-CN"/>
        </w:rPr>
        <w:t>2002034</w:t>
      </w:r>
      <w:bookmarkEnd w:id="0"/>
    </w:p>
    <w:p>
      <w:pPr>
        <w:pStyle w:val="19"/>
        <w:rPr>
          <w:rFonts w:hint="default" w:ascii="Times New Roman" w:hAnsi="Times New Roman" w:cs="Times New Roman"/>
          <w:sz w:val="22"/>
          <w:szCs w:val="22"/>
        </w:rPr>
      </w:pPr>
      <w:r>
        <w:t>Electronic meeting, 24 February – 6 March 2020</w:t>
      </w:r>
    </w:p>
    <w:p>
      <w:pPr>
        <w:pStyle w:val="19"/>
        <w:rPr>
          <w:rFonts w:hint="default" w:ascii="Times New Roman" w:hAnsi="Times New Roman" w:eastAsia="宋体" w:cs="Times New Roman"/>
          <w:sz w:val="22"/>
          <w:szCs w:val="22"/>
          <w:lang w:val="en-US" w:eastAsia="zh-CN"/>
        </w:rPr>
      </w:pPr>
      <w:r>
        <w:rPr>
          <w:rFonts w:hint="default" w:ascii="Times New Roman" w:hAnsi="Times New Roman" w:cs="Times New Roman"/>
          <w:sz w:val="22"/>
          <w:szCs w:val="22"/>
          <w:lang w:val="en-US"/>
        </w:rPr>
        <w:t>Agenda Item:</w:t>
      </w:r>
      <w:r>
        <w:rPr>
          <w:rFonts w:hint="default" w:ascii="Times New Roman" w:hAnsi="Times New Roman" w:cs="Times New Roman"/>
          <w:sz w:val="22"/>
          <w:szCs w:val="22"/>
          <w:lang w:val="en-US"/>
        </w:rPr>
        <w:tab/>
      </w:r>
      <w:r>
        <w:rPr>
          <w:rFonts w:hint="default" w:ascii="Times New Roman" w:hAnsi="Times New Roman" w:cs="Times New Roman"/>
          <w:sz w:val="22"/>
          <w:szCs w:val="22"/>
          <w:highlight w:val="none"/>
          <w:lang w:val="en-US"/>
        </w:rPr>
        <w:t>6.11.</w:t>
      </w:r>
      <w:r>
        <w:rPr>
          <w:rFonts w:hint="default" w:ascii="Times New Roman" w:hAnsi="Times New Roman" w:cs="Times New Roman"/>
          <w:sz w:val="22"/>
          <w:szCs w:val="22"/>
          <w:highlight w:val="none"/>
          <w:lang w:val="en-US" w:eastAsia="zh-CN"/>
        </w:rPr>
        <w:t>6</w:t>
      </w:r>
    </w:p>
    <w:p>
      <w:pPr>
        <w:pStyle w:val="19"/>
        <w:rPr>
          <w:rFonts w:hint="default" w:ascii="Times New Roman" w:hAnsi="Times New Roman" w:eastAsia="宋体" w:cs="Times New Roman"/>
          <w:sz w:val="22"/>
          <w:szCs w:val="22"/>
          <w:lang w:val="en-US" w:eastAsia="zh-CN"/>
        </w:rPr>
      </w:pPr>
      <w:r>
        <w:rPr>
          <w:rFonts w:hint="default" w:ascii="Times New Roman" w:hAnsi="Times New Roman" w:cs="Times New Roman"/>
          <w:sz w:val="22"/>
          <w:szCs w:val="22"/>
        </w:rPr>
        <w:t>Source:</w:t>
      </w:r>
      <w:r>
        <w:rPr>
          <w:rFonts w:hint="default" w:ascii="Times New Roman" w:hAnsi="Times New Roman" w:cs="Times New Roman"/>
          <w:sz w:val="22"/>
          <w:szCs w:val="22"/>
        </w:rPr>
        <w:tab/>
      </w:r>
      <w:r>
        <w:rPr>
          <w:rFonts w:hint="default" w:ascii="Times New Roman" w:hAnsi="Times New Roman" w:cs="Times New Roman"/>
          <w:sz w:val="22"/>
          <w:szCs w:val="22"/>
          <w:lang w:val="en-US" w:eastAsia="zh-CN"/>
        </w:rPr>
        <w:t>ZTE</w:t>
      </w:r>
    </w:p>
    <w:p>
      <w:pPr>
        <w:pStyle w:val="19"/>
        <w:rPr>
          <w:rFonts w:hint="default" w:ascii="Times New Roman" w:hAnsi="Times New Roman" w:cs="Times New Roman"/>
          <w:sz w:val="22"/>
          <w:szCs w:val="22"/>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eastAsia" w:eastAsia="宋体" w:cs="Times New Roman"/>
          <w:sz w:val="22"/>
          <w:szCs w:val="22"/>
          <w:lang w:val="en-US" w:eastAsia="zh-CN"/>
        </w:rPr>
        <w:t>I</w:t>
      </w:r>
      <w:r>
        <w:rPr>
          <w:rFonts w:hint="default" w:ascii="Times New Roman" w:hAnsi="Times New Roman" w:cs="Times New Roman"/>
          <w:sz w:val="22"/>
          <w:szCs w:val="22"/>
        </w:rPr>
        <w:t xml:space="preserve">mpact of RRM relaxation on ETWS/CMAS </w:t>
      </w:r>
    </w:p>
    <w:p>
      <w:pPr>
        <w:pStyle w:val="19"/>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Decision</w:t>
      </w:r>
    </w:p>
    <w:p>
      <w:pPr>
        <w:pStyle w:val="2"/>
        <w:rPr>
          <w:rFonts w:hint="default" w:eastAsia="宋体"/>
          <w:lang w:val="en-US" w:eastAsia="zh-CN"/>
        </w:rPr>
      </w:pPr>
      <w:r>
        <w:rPr>
          <w:rFonts w:hint="default" w:ascii="Times New Roman" w:hAnsi="Times New Roman" w:cs="Times New Roman"/>
        </w:rPr>
        <w:t>Introduction</w:t>
      </w:r>
    </w:p>
    <w:p>
      <w:pPr>
        <w:rPr>
          <w:rFonts w:hint="default" w:eastAsia="宋体"/>
          <w:lang w:val="en-US" w:eastAsia="zh-CN"/>
        </w:rPr>
      </w:pPr>
      <w:r>
        <w:rPr>
          <w:rFonts w:hint="eastAsia" w:eastAsia="宋体"/>
          <w:lang w:val="en-US" w:eastAsia="zh-CN"/>
        </w:rPr>
        <w:t>In this contribution, we discuss the potential influence between ETWS/CMAS and RRM relaxation based on the agreements which have been made by RAN2 and RAN4.</w:t>
      </w:r>
    </w:p>
    <w:p>
      <w:pPr>
        <w:pStyle w:val="2"/>
        <w:bidi w:val="0"/>
        <w:rPr>
          <w:rFonts w:hint="eastAsia"/>
          <w:lang w:val="en-US" w:eastAsia="zh-CN"/>
        </w:rPr>
      </w:pPr>
      <w:r>
        <w:rPr>
          <w:rFonts w:hint="eastAsia"/>
          <w:lang w:val="en-US" w:eastAsia="zh-CN"/>
        </w:rPr>
        <w:t>Discussion</w:t>
      </w:r>
    </w:p>
    <w:p>
      <w:pPr>
        <w:pStyle w:val="3"/>
        <w:numPr>
          <w:ilvl w:val="0"/>
          <w:numId w:val="0"/>
        </w:numPr>
        <w:bidi w:val="0"/>
        <w:ind w:leftChars="0"/>
        <w:rPr>
          <w:rFonts w:hint="eastAsia"/>
          <w:lang w:val="en-US" w:eastAsia="zh-CN"/>
        </w:rPr>
      </w:pPr>
      <w:r>
        <w:rPr>
          <w:rFonts w:hint="eastAsia"/>
          <w:lang w:val="en-US" w:eastAsia="zh-CN"/>
        </w:rPr>
        <w:t>2.1 Mechanism of the ETWS/CMAS</w:t>
      </w:r>
    </w:p>
    <w:p>
      <w:pPr>
        <w:rPr>
          <w:rFonts w:hint="default" w:eastAsia="宋体"/>
          <w:lang w:val="en-US" w:eastAsia="zh-CN"/>
        </w:rPr>
      </w:pPr>
      <w:r>
        <w:rPr>
          <w:rFonts w:hint="eastAsia" w:eastAsia="宋体"/>
          <w:lang w:val="en-US" w:eastAsia="zh-CN"/>
        </w:rPr>
        <w:t>ETWS/CMAS is based on the paging system. Notifications of ETWS/CMAS are contained in SIB6,SIB7 and SIB8 separately in NR. UE monitors paging channels for RAN-indicated paging during one Paging Occasion per DRX cycle, while UE is in either RRC_IDLE or RRC_INACTIVE.</w:t>
      </w:r>
    </w:p>
    <w:p>
      <w:pPr>
        <w:rPr>
          <w:rFonts w:hint="eastAsia" w:eastAsia="宋体"/>
          <w:b/>
          <w:bCs/>
          <w:lang w:val="en-US" w:eastAsia="zh-CN"/>
        </w:rPr>
      </w:pPr>
      <w:r>
        <w:rPr>
          <w:rFonts w:hint="eastAsia" w:eastAsia="宋体"/>
          <w:b/>
          <w:bCs/>
          <w:lang w:val="en-US" w:eastAsia="zh-CN"/>
        </w:rPr>
        <w:t>Observation 1: The implementation of ETWS/CMAS is based on the paging of the serving cell.</w:t>
      </w:r>
    </w:p>
    <w:p>
      <w:pPr>
        <w:bidi w:val="0"/>
        <w:rPr>
          <w:rFonts w:hint="default"/>
          <w:b/>
          <w:bCs/>
          <w:lang w:val="en-US" w:eastAsia="zh-CN"/>
        </w:rPr>
      </w:pPr>
      <w:r>
        <w:rPr>
          <w:rFonts w:hint="eastAsia"/>
          <w:b/>
          <w:bCs/>
          <w:lang w:val="en-US" w:eastAsia="zh-CN"/>
        </w:rPr>
        <w:t>Proposal 1: ETWS/CMAS can work normally if UE can detect and receive the paging message periodically from the serving cell.</w:t>
      </w:r>
    </w:p>
    <w:p>
      <w:pPr>
        <w:pStyle w:val="3"/>
        <w:numPr>
          <w:ilvl w:val="0"/>
          <w:numId w:val="0"/>
        </w:numPr>
        <w:bidi w:val="0"/>
        <w:ind w:leftChars="0"/>
        <w:rPr>
          <w:rFonts w:hint="eastAsia"/>
          <w:lang w:val="en-US" w:eastAsia="zh-CN"/>
        </w:rPr>
      </w:pPr>
      <w:r>
        <w:rPr>
          <w:rFonts w:hint="eastAsia"/>
          <w:lang w:val="en-US" w:eastAsia="zh-CN"/>
        </w:rPr>
        <w:t>2.2 RAN2&amp;RAN4 agreements</w:t>
      </w:r>
    </w:p>
    <w:p>
      <w:pPr>
        <w:rPr>
          <w:rFonts w:hint="eastAsia"/>
          <w:highlight w:val="none"/>
          <w:lang w:val="en-US" w:eastAsia="zh-CN"/>
        </w:rPr>
      </w:pPr>
      <w:r>
        <w:rPr>
          <w:rFonts w:hint="eastAsia"/>
          <w:highlight w:val="none"/>
          <w:lang w:val="en-US" w:eastAsia="zh-CN"/>
        </w:rPr>
        <w:t>In RAN4#93, it was decided that there are two scenarios and two options in RRM relaxation:</w:t>
      </w:r>
    </w:p>
    <w:p>
      <w:pPr>
        <w:keepNext w:val="0"/>
        <w:keepLines w:val="0"/>
        <w:pageBreakBefore w:val="0"/>
        <w:widowControl/>
        <w:kinsoku/>
        <w:wordWrap/>
        <w:topLinePunct w:val="0"/>
        <w:bidi w:val="0"/>
        <w:snapToGrid/>
        <w:spacing w:after="0" w:line="240" w:lineRule="atLeast"/>
        <w:rPr>
          <w:color w:val="auto"/>
          <w:sz w:val="18"/>
          <w:szCs w:val="18"/>
          <w:highlight w:val="none"/>
        </w:rPr>
      </w:pPr>
      <w:r>
        <w:rPr>
          <w:rFonts w:hint="eastAsia"/>
          <w:color w:val="auto"/>
          <w:sz w:val="18"/>
          <w:szCs w:val="18"/>
          <w:highlight w:val="none"/>
          <w:lang w:val="en-US" w:eastAsia="zh-CN"/>
        </w:rPr>
        <w:t xml:space="preserve"> </w:t>
      </w:r>
      <w:r>
        <w:rPr>
          <w:color w:val="auto"/>
          <w:sz w:val="18"/>
          <w:szCs w:val="18"/>
          <w:highlight w:val="none"/>
        </w:rPr>
        <w:t>Agreements</w:t>
      </w:r>
    </w:p>
    <w:p>
      <w:pPr>
        <w:keepNext w:val="0"/>
        <w:keepLines w:val="0"/>
        <w:pageBreakBefore w:val="0"/>
        <w:widowControl/>
        <w:kinsoku/>
        <w:wordWrap/>
        <w:topLinePunct w:val="0"/>
        <w:bidi w:val="0"/>
        <w:snapToGrid/>
        <w:spacing w:after="0" w:line="240" w:lineRule="atLeast"/>
        <w:ind w:left="284"/>
        <w:rPr>
          <w:color w:val="auto"/>
          <w:sz w:val="16"/>
          <w:szCs w:val="16"/>
          <w:highlight w:val="none"/>
          <w:u w:val="single"/>
        </w:rPr>
      </w:pPr>
      <w:r>
        <w:rPr>
          <w:color w:val="auto"/>
          <w:sz w:val="16"/>
          <w:szCs w:val="16"/>
          <w:highlight w:val="none"/>
          <w:u w:val="single"/>
        </w:rPr>
        <w:t>For information: Scenarios (based on RAN2)</w:t>
      </w:r>
    </w:p>
    <w:p>
      <w:pPr>
        <w:pStyle w:val="20"/>
        <w:keepNext w:val="0"/>
        <w:keepLines w:val="0"/>
        <w:pageBreakBefore w:val="0"/>
        <w:widowControl/>
        <w:numPr>
          <w:ilvl w:val="0"/>
          <w:numId w:val="3"/>
        </w:numPr>
        <w:kinsoku/>
        <w:wordWrap/>
        <w:topLinePunct w:val="0"/>
        <w:bidi w:val="0"/>
        <w:snapToGrid/>
        <w:spacing w:after="0" w:line="240" w:lineRule="atLeast"/>
        <w:ind w:left="1004"/>
        <w:rPr>
          <w:color w:val="auto"/>
          <w:sz w:val="16"/>
          <w:szCs w:val="16"/>
          <w:highlight w:val="none"/>
        </w:rPr>
      </w:pPr>
      <w:r>
        <w:rPr>
          <w:color w:val="auto"/>
          <w:sz w:val="16"/>
          <w:szCs w:val="16"/>
          <w:highlight w:val="none"/>
        </w:rPr>
        <w:t>#1: Low mobility scenario</w:t>
      </w:r>
    </w:p>
    <w:p>
      <w:pPr>
        <w:pStyle w:val="20"/>
        <w:keepNext w:val="0"/>
        <w:keepLines w:val="0"/>
        <w:pageBreakBefore w:val="0"/>
        <w:widowControl/>
        <w:numPr>
          <w:ilvl w:val="0"/>
          <w:numId w:val="3"/>
        </w:numPr>
        <w:kinsoku/>
        <w:wordWrap/>
        <w:topLinePunct w:val="0"/>
        <w:bidi w:val="0"/>
        <w:snapToGrid/>
        <w:spacing w:after="0" w:line="240" w:lineRule="atLeast"/>
        <w:ind w:left="1004"/>
        <w:rPr>
          <w:color w:val="auto"/>
          <w:sz w:val="16"/>
          <w:szCs w:val="16"/>
          <w:highlight w:val="none"/>
        </w:rPr>
      </w:pPr>
      <w:r>
        <w:rPr>
          <w:color w:val="auto"/>
          <w:sz w:val="16"/>
          <w:szCs w:val="16"/>
          <w:highlight w:val="none"/>
        </w:rPr>
        <w:t xml:space="preserve">#2: Not in cell-edge scenario </w:t>
      </w:r>
    </w:p>
    <w:p>
      <w:pPr>
        <w:pStyle w:val="20"/>
        <w:keepNext w:val="0"/>
        <w:keepLines w:val="0"/>
        <w:pageBreakBefore w:val="0"/>
        <w:widowControl/>
        <w:numPr>
          <w:ilvl w:val="0"/>
          <w:numId w:val="3"/>
        </w:numPr>
        <w:kinsoku/>
        <w:wordWrap/>
        <w:topLinePunct w:val="0"/>
        <w:bidi w:val="0"/>
        <w:snapToGrid/>
        <w:spacing w:after="0" w:line="240" w:lineRule="atLeast"/>
        <w:ind w:left="1004"/>
        <w:rPr>
          <w:color w:val="auto"/>
          <w:sz w:val="16"/>
          <w:szCs w:val="16"/>
          <w:highlight w:val="none"/>
        </w:rPr>
      </w:pPr>
      <w:r>
        <w:rPr>
          <w:color w:val="auto"/>
          <w:sz w:val="16"/>
          <w:szCs w:val="16"/>
          <w:highlight w:val="none"/>
        </w:rPr>
        <w:t>#3: Low-mobility + Not in cell-edge scenario</w:t>
      </w:r>
    </w:p>
    <w:p>
      <w:pPr>
        <w:keepNext w:val="0"/>
        <w:keepLines w:val="0"/>
        <w:pageBreakBefore w:val="0"/>
        <w:widowControl/>
        <w:kinsoku/>
        <w:wordWrap/>
        <w:topLinePunct w:val="0"/>
        <w:bidi w:val="0"/>
        <w:snapToGrid/>
        <w:spacing w:after="0" w:line="240" w:lineRule="atLeast"/>
        <w:ind w:left="284"/>
        <w:rPr>
          <w:color w:val="auto"/>
          <w:sz w:val="16"/>
          <w:szCs w:val="16"/>
          <w:highlight w:val="none"/>
          <w:u w:val="single"/>
        </w:rPr>
      </w:pPr>
      <w:r>
        <w:rPr>
          <w:color w:val="auto"/>
          <w:sz w:val="16"/>
          <w:szCs w:val="16"/>
          <w:highlight w:val="none"/>
          <w:u w:val="single"/>
        </w:rPr>
        <w:t>RRM measurement relaxation methods for UE power saving in RRC_idle/inactive state</w:t>
      </w:r>
    </w:p>
    <w:p>
      <w:pPr>
        <w:pStyle w:val="20"/>
        <w:keepNext w:val="0"/>
        <w:keepLines w:val="0"/>
        <w:pageBreakBefore w:val="0"/>
        <w:widowControl/>
        <w:kinsoku/>
        <w:wordWrap/>
        <w:topLinePunct w:val="0"/>
        <w:bidi w:val="0"/>
        <w:snapToGrid/>
        <w:spacing w:after="0" w:line="240" w:lineRule="atLeast"/>
        <w:ind w:left="1004"/>
        <w:rPr>
          <w:color w:val="auto"/>
          <w:sz w:val="16"/>
          <w:szCs w:val="16"/>
          <w:highlight w:val="none"/>
        </w:rPr>
      </w:pPr>
      <w:r>
        <w:rPr>
          <w:color w:val="auto"/>
          <w:sz w:val="16"/>
          <w:szCs w:val="16"/>
          <w:highlight w:val="none"/>
        </w:rPr>
        <w:t xml:space="preserve">Option 1: Allow RRM measurements with longer intervals </w:t>
      </w:r>
    </w:p>
    <w:p>
      <w:pPr>
        <w:pStyle w:val="20"/>
        <w:keepNext w:val="0"/>
        <w:keepLines w:val="0"/>
        <w:pageBreakBefore w:val="0"/>
        <w:widowControl/>
        <w:kinsoku/>
        <w:wordWrap/>
        <w:topLinePunct w:val="0"/>
        <w:bidi w:val="0"/>
        <w:snapToGrid/>
        <w:spacing w:after="0" w:line="240" w:lineRule="atLeast"/>
        <w:ind w:left="1004"/>
        <w:rPr>
          <w:color w:val="auto"/>
          <w:sz w:val="16"/>
          <w:szCs w:val="16"/>
          <w:highlight w:val="none"/>
        </w:rPr>
      </w:pPr>
      <w:r>
        <w:rPr>
          <w:color w:val="auto"/>
          <w:sz w:val="16"/>
          <w:szCs w:val="16"/>
          <w:highlight w:val="none"/>
        </w:rPr>
        <w:t>Option 2: Reuse LTE MTC/NB-IoT RRM measurement relaxation for neighbour cell monitoring</w:t>
      </w:r>
    </w:p>
    <w:p>
      <w:pPr>
        <w:pStyle w:val="20"/>
        <w:keepNext w:val="0"/>
        <w:keepLines w:val="0"/>
        <w:pageBreakBefore w:val="0"/>
        <w:widowControl/>
        <w:numPr>
          <w:ilvl w:val="1"/>
          <w:numId w:val="2"/>
        </w:numPr>
        <w:kinsoku/>
        <w:wordWrap/>
        <w:topLinePunct w:val="0"/>
        <w:bidi w:val="0"/>
        <w:snapToGrid/>
        <w:spacing w:after="0" w:line="240" w:lineRule="atLeast"/>
        <w:rPr>
          <w:color w:val="auto"/>
          <w:sz w:val="16"/>
          <w:szCs w:val="16"/>
          <w:highlight w:val="none"/>
        </w:rPr>
      </w:pPr>
      <w:r>
        <w:rPr>
          <w:color w:val="auto"/>
          <w:sz w:val="16"/>
          <w:szCs w:val="16"/>
          <w:highlight w:val="none"/>
        </w:rPr>
        <w:t>Note: modifications are not precluded</w:t>
      </w:r>
    </w:p>
    <w:p>
      <w:pPr>
        <w:keepNext w:val="0"/>
        <w:keepLines w:val="0"/>
        <w:pageBreakBefore w:val="0"/>
        <w:widowControl/>
        <w:kinsoku/>
        <w:wordWrap/>
        <w:topLinePunct w:val="0"/>
        <w:bidi w:val="0"/>
        <w:snapToGrid/>
        <w:spacing w:after="0" w:line="240" w:lineRule="atLeast"/>
        <w:ind w:left="284"/>
        <w:rPr>
          <w:color w:val="auto"/>
          <w:sz w:val="16"/>
          <w:szCs w:val="16"/>
          <w:highlight w:val="none"/>
          <w:u w:val="single"/>
        </w:rPr>
      </w:pPr>
    </w:p>
    <w:p>
      <w:pPr>
        <w:keepNext w:val="0"/>
        <w:keepLines w:val="0"/>
        <w:pageBreakBefore w:val="0"/>
        <w:widowControl/>
        <w:kinsoku/>
        <w:wordWrap/>
        <w:topLinePunct w:val="0"/>
        <w:bidi w:val="0"/>
        <w:snapToGrid/>
        <w:spacing w:after="0" w:line="240" w:lineRule="atLeast"/>
        <w:ind w:left="284"/>
        <w:rPr>
          <w:color w:val="auto"/>
          <w:sz w:val="16"/>
          <w:szCs w:val="16"/>
          <w:highlight w:val="none"/>
          <w:u w:val="single"/>
        </w:rPr>
      </w:pPr>
      <w:r>
        <w:rPr>
          <w:color w:val="auto"/>
          <w:sz w:val="16"/>
          <w:szCs w:val="16"/>
          <w:highlight w:val="none"/>
          <w:u w:val="single"/>
        </w:rPr>
        <w:t>Applicability of RRM relaxation methods</w:t>
      </w:r>
    </w:p>
    <w:tbl>
      <w:tblPr>
        <w:tblStyle w:val="13"/>
        <w:tblW w:w="6419" w:type="dxa"/>
        <w:tblInd w:w="4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0"/>
        <w:gridCol w:w="5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0" w:type="dxa"/>
          </w:tcPr>
          <w:p>
            <w:pPr>
              <w:keepNext w:val="0"/>
              <w:keepLines w:val="0"/>
              <w:pageBreakBefore w:val="0"/>
              <w:widowControl/>
              <w:kinsoku/>
              <w:wordWrap/>
              <w:topLinePunct w:val="0"/>
              <w:bidi w:val="0"/>
              <w:snapToGrid/>
              <w:spacing w:before="0" w:after="0" w:line="240" w:lineRule="atLeast"/>
              <w:jc w:val="both"/>
              <w:rPr>
                <w:color w:val="auto"/>
                <w:sz w:val="16"/>
                <w:szCs w:val="16"/>
                <w:highlight w:val="none"/>
                <w:lang w:eastAsia="en-GB"/>
              </w:rPr>
            </w:pPr>
          </w:p>
        </w:tc>
        <w:tc>
          <w:tcPr>
            <w:tcW w:w="5179" w:type="dxa"/>
          </w:tcPr>
          <w:p>
            <w:pPr>
              <w:keepNext w:val="0"/>
              <w:keepLines w:val="0"/>
              <w:pageBreakBefore w:val="0"/>
              <w:widowControl/>
              <w:kinsoku/>
              <w:wordWrap/>
              <w:topLinePunct w:val="0"/>
              <w:bidi w:val="0"/>
              <w:snapToGrid/>
              <w:spacing w:before="0" w:after="0" w:line="240" w:lineRule="atLeast"/>
              <w:jc w:val="both"/>
              <w:rPr>
                <w:color w:val="auto"/>
                <w:sz w:val="16"/>
                <w:szCs w:val="16"/>
                <w:highlight w:val="none"/>
                <w:lang w:eastAsia="en-GB"/>
              </w:rPr>
            </w:pPr>
            <w:r>
              <w:rPr>
                <w:color w:val="auto"/>
                <w:sz w:val="16"/>
                <w:szCs w:val="16"/>
                <w:highlight w:val="none"/>
                <w:lang w:eastAsia="en-GB"/>
              </w:rPr>
              <w:t>Applicable RRM relaxation methods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0" w:type="dxa"/>
          </w:tcPr>
          <w:p>
            <w:pPr>
              <w:keepNext w:val="0"/>
              <w:keepLines w:val="0"/>
              <w:pageBreakBefore w:val="0"/>
              <w:widowControl/>
              <w:kinsoku/>
              <w:wordWrap/>
              <w:topLinePunct w:val="0"/>
              <w:bidi w:val="0"/>
              <w:snapToGrid/>
              <w:spacing w:before="0" w:after="0" w:line="240" w:lineRule="atLeast"/>
              <w:jc w:val="both"/>
              <w:rPr>
                <w:color w:val="auto"/>
                <w:sz w:val="16"/>
                <w:szCs w:val="16"/>
                <w:highlight w:val="none"/>
                <w:lang w:eastAsia="en-GB"/>
              </w:rPr>
            </w:pPr>
            <w:r>
              <w:rPr>
                <w:color w:val="auto"/>
                <w:sz w:val="16"/>
                <w:szCs w:val="16"/>
                <w:highlight w:val="none"/>
                <w:lang w:eastAsia="en-GB"/>
              </w:rPr>
              <w:t>Scenario #1</w:t>
            </w:r>
          </w:p>
        </w:tc>
        <w:tc>
          <w:tcPr>
            <w:tcW w:w="5179" w:type="dxa"/>
          </w:tcPr>
          <w:p>
            <w:pPr>
              <w:keepNext w:val="0"/>
              <w:keepLines w:val="0"/>
              <w:pageBreakBefore w:val="0"/>
              <w:widowControl/>
              <w:kinsoku/>
              <w:wordWrap/>
              <w:topLinePunct w:val="0"/>
              <w:bidi w:val="0"/>
              <w:snapToGrid/>
              <w:spacing w:before="0" w:after="0" w:line="240" w:lineRule="atLeast"/>
              <w:jc w:val="both"/>
              <w:rPr>
                <w:color w:val="auto"/>
                <w:sz w:val="16"/>
                <w:szCs w:val="16"/>
                <w:highlight w:val="none"/>
                <w:lang w:eastAsia="en-GB"/>
              </w:rPr>
            </w:pPr>
            <w:r>
              <w:rPr>
                <w:color w:val="auto"/>
                <w:sz w:val="16"/>
                <w:szCs w:val="16"/>
                <w:highlight w:val="none"/>
                <w:lang w:eastAsia="en-GB"/>
              </w:rPr>
              <w:t>FFS: Option 1 and/or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0" w:type="dxa"/>
          </w:tcPr>
          <w:p>
            <w:pPr>
              <w:keepNext w:val="0"/>
              <w:keepLines w:val="0"/>
              <w:pageBreakBefore w:val="0"/>
              <w:widowControl/>
              <w:kinsoku/>
              <w:wordWrap/>
              <w:topLinePunct w:val="0"/>
              <w:bidi w:val="0"/>
              <w:snapToGrid/>
              <w:spacing w:before="0" w:after="0" w:line="240" w:lineRule="atLeast"/>
              <w:jc w:val="both"/>
              <w:rPr>
                <w:color w:val="auto"/>
                <w:sz w:val="16"/>
                <w:szCs w:val="16"/>
                <w:highlight w:val="none"/>
                <w:lang w:eastAsia="en-GB"/>
              </w:rPr>
            </w:pPr>
            <w:r>
              <w:rPr>
                <w:color w:val="auto"/>
                <w:sz w:val="16"/>
                <w:szCs w:val="16"/>
                <w:highlight w:val="none"/>
                <w:lang w:eastAsia="en-GB"/>
              </w:rPr>
              <w:t>Scenario #2</w:t>
            </w:r>
          </w:p>
        </w:tc>
        <w:tc>
          <w:tcPr>
            <w:tcW w:w="5179" w:type="dxa"/>
          </w:tcPr>
          <w:p>
            <w:pPr>
              <w:keepNext w:val="0"/>
              <w:keepLines w:val="0"/>
              <w:pageBreakBefore w:val="0"/>
              <w:widowControl/>
              <w:kinsoku/>
              <w:wordWrap/>
              <w:topLinePunct w:val="0"/>
              <w:bidi w:val="0"/>
              <w:snapToGrid/>
              <w:spacing w:before="0" w:after="0" w:line="240" w:lineRule="atLeast"/>
              <w:jc w:val="both"/>
              <w:rPr>
                <w:color w:val="auto"/>
                <w:sz w:val="16"/>
                <w:szCs w:val="16"/>
                <w:highlight w:val="none"/>
                <w:lang w:eastAsia="en-GB"/>
              </w:rPr>
            </w:pPr>
            <w:r>
              <w:rPr>
                <w:color w:val="auto"/>
                <w:sz w:val="16"/>
                <w:szCs w:val="16"/>
                <w:highlight w:val="none"/>
                <w:lang w:eastAsia="en-GB"/>
              </w:rPr>
              <w:t>FFS: Option 1 and/or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0" w:type="dxa"/>
          </w:tcPr>
          <w:p>
            <w:pPr>
              <w:keepNext w:val="0"/>
              <w:keepLines w:val="0"/>
              <w:pageBreakBefore w:val="0"/>
              <w:widowControl/>
              <w:kinsoku/>
              <w:wordWrap/>
              <w:topLinePunct w:val="0"/>
              <w:bidi w:val="0"/>
              <w:snapToGrid/>
              <w:spacing w:before="0" w:after="0" w:line="240" w:lineRule="atLeast"/>
              <w:jc w:val="both"/>
              <w:rPr>
                <w:color w:val="auto"/>
                <w:sz w:val="16"/>
                <w:szCs w:val="16"/>
                <w:highlight w:val="none"/>
                <w:lang w:eastAsia="en-GB"/>
              </w:rPr>
            </w:pPr>
            <w:r>
              <w:rPr>
                <w:color w:val="auto"/>
                <w:sz w:val="16"/>
                <w:szCs w:val="16"/>
                <w:highlight w:val="none"/>
                <w:lang w:eastAsia="en-GB"/>
              </w:rPr>
              <w:t>Scenario #3</w:t>
            </w:r>
          </w:p>
        </w:tc>
        <w:tc>
          <w:tcPr>
            <w:tcW w:w="5179" w:type="dxa"/>
          </w:tcPr>
          <w:p>
            <w:pPr>
              <w:keepNext w:val="0"/>
              <w:keepLines w:val="0"/>
              <w:pageBreakBefore w:val="0"/>
              <w:widowControl/>
              <w:kinsoku/>
              <w:wordWrap/>
              <w:topLinePunct w:val="0"/>
              <w:bidi w:val="0"/>
              <w:snapToGrid/>
              <w:spacing w:before="0" w:after="0" w:line="240" w:lineRule="atLeast"/>
              <w:jc w:val="both"/>
              <w:rPr>
                <w:color w:val="auto"/>
                <w:sz w:val="16"/>
                <w:szCs w:val="16"/>
                <w:highlight w:val="none"/>
                <w:lang w:eastAsia="en-GB"/>
              </w:rPr>
            </w:pPr>
            <w:r>
              <w:rPr>
                <w:color w:val="auto"/>
                <w:sz w:val="16"/>
                <w:szCs w:val="16"/>
                <w:highlight w:val="none"/>
                <w:lang w:eastAsia="en-GB"/>
              </w:rPr>
              <w:t xml:space="preserve">Option 2. </w:t>
            </w:r>
          </w:p>
        </w:tc>
      </w:tr>
    </w:tbl>
    <w:p>
      <w:pPr>
        <w:rPr>
          <w:rFonts w:hint="default"/>
          <w:lang w:val="en-US" w:eastAsia="zh-CN"/>
        </w:rPr>
      </w:pPr>
    </w:p>
    <w:p>
      <w:pPr>
        <w:rPr>
          <w:rFonts w:hint="default"/>
          <w:highlight w:val="none"/>
          <w:lang w:val="en-US" w:eastAsia="zh-CN"/>
        </w:rPr>
      </w:pPr>
      <w:r>
        <w:rPr>
          <w:rFonts w:hint="eastAsia"/>
          <w:highlight w:val="none"/>
          <w:lang w:val="en-US" w:eastAsia="zh-CN"/>
        </w:rPr>
        <w:t>It is in a way that either Option1 (</w:t>
      </w:r>
      <w:r>
        <w:rPr>
          <w:rFonts w:hint="eastAsia"/>
          <w:i/>
          <w:iCs/>
          <w:highlight w:val="none"/>
          <w:lang w:val="en-US" w:eastAsia="zh-CN"/>
        </w:rPr>
        <w:t>allow RRM measurements with longer intervals)</w:t>
      </w:r>
      <w:r>
        <w:rPr>
          <w:rFonts w:hint="eastAsia"/>
          <w:highlight w:val="none"/>
          <w:lang w:val="en-US" w:eastAsia="zh-CN"/>
        </w:rPr>
        <w:t xml:space="preserve"> or option 2 (</w:t>
      </w:r>
      <w:r>
        <w:rPr>
          <w:rFonts w:hint="eastAsia"/>
          <w:i/>
          <w:iCs/>
          <w:highlight w:val="none"/>
          <w:lang w:val="en-US" w:eastAsia="zh-CN"/>
        </w:rPr>
        <w:t>reuse LTE MTC/NB-IoT measurement relaxation for neighbour cell monitoring)</w:t>
      </w:r>
      <w:r>
        <w:rPr>
          <w:rFonts w:hint="eastAsia"/>
          <w:highlight w:val="none"/>
          <w:lang w:val="en-US" w:eastAsia="zh-CN"/>
        </w:rPr>
        <w:t xml:space="preserve"> can observably reduce UE</w:t>
      </w:r>
      <w:r>
        <w:rPr>
          <w:rFonts w:hint="default"/>
          <w:highlight w:val="none"/>
          <w:lang w:val="en-US" w:eastAsia="zh-CN"/>
        </w:rPr>
        <w:t>’</w:t>
      </w:r>
      <w:r>
        <w:rPr>
          <w:rFonts w:hint="eastAsia"/>
          <w:highlight w:val="none"/>
          <w:lang w:val="en-US" w:eastAsia="zh-CN"/>
        </w:rPr>
        <w:t xml:space="preserve">s prospecting level for the neighbouring cells.  </w:t>
      </w:r>
    </w:p>
    <w:p>
      <w:pPr>
        <w:rPr>
          <w:rFonts w:hint="eastAsia"/>
          <w:b/>
          <w:bCs/>
          <w:lang w:val="en-US" w:eastAsia="zh-CN"/>
        </w:rPr>
      </w:pPr>
      <w:r>
        <w:rPr>
          <w:rFonts w:hint="eastAsia"/>
          <w:b/>
          <w:bCs/>
          <w:lang w:val="en-US" w:eastAsia="zh-CN"/>
        </w:rPr>
        <w:t>Observation 2: RRM relaxation may reduce the UE</w:t>
      </w:r>
      <w:r>
        <w:rPr>
          <w:rFonts w:hint="default"/>
          <w:b/>
          <w:bCs/>
          <w:lang w:val="en-US" w:eastAsia="zh-CN"/>
        </w:rPr>
        <w:t>’</w:t>
      </w:r>
      <w:r>
        <w:rPr>
          <w:rFonts w:hint="eastAsia"/>
          <w:b/>
          <w:bCs/>
          <w:lang w:val="en-US" w:eastAsia="zh-CN"/>
        </w:rPr>
        <w:t>s prospecting level of the neighbouring cells.</w:t>
      </w:r>
    </w:p>
    <w:p>
      <w:pPr>
        <w:rPr>
          <w:rFonts w:hint="eastAsia" w:eastAsia="宋体"/>
          <w:lang w:val="en-US" w:eastAsia="zh-CN"/>
        </w:rPr>
      </w:pPr>
      <w:r>
        <w:rPr>
          <w:rFonts w:hint="eastAsia" w:eastAsia="宋体"/>
          <w:lang w:val="en-US" w:eastAsia="zh-CN"/>
        </w:rPr>
        <w:t>In RAN2#108, it has been agreed as follows:</w:t>
      </w:r>
    </w:p>
    <w:p>
      <w:pPr>
        <w:pStyle w:val="23"/>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spacing w:after="0"/>
        <w:ind w:left="1621" w:hanging="363"/>
        <w:jc w:val="left"/>
        <w:textAlignment w:val="baseline"/>
        <w:rPr>
          <w:b/>
          <w:bCs/>
          <w:sz w:val="16"/>
          <w:szCs w:val="16"/>
        </w:rPr>
      </w:pPr>
      <w:r>
        <w:rPr>
          <w:b/>
          <w:bCs/>
          <w:sz w:val="16"/>
          <w:szCs w:val="16"/>
        </w:rPr>
        <w:t>Agreements</w:t>
      </w:r>
    </w:p>
    <w:p>
      <w:pPr>
        <w:pStyle w:val="23"/>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spacing w:after="0"/>
        <w:ind w:left="1621" w:hanging="363"/>
        <w:jc w:val="left"/>
        <w:textAlignment w:val="baseline"/>
        <w:rPr>
          <w:sz w:val="16"/>
          <w:szCs w:val="16"/>
        </w:rPr>
      </w:pPr>
      <w:r>
        <w:rPr>
          <w:sz w:val="16"/>
          <w:szCs w:val="16"/>
        </w:rPr>
        <w:t>1</w:t>
      </w:r>
      <w:r>
        <w:rPr>
          <w:sz w:val="16"/>
          <w:szCs w:val="16"/>
        </w:rPr>
        <w:tab/>
      </w:r>
      <w:r>
        <w:rPr>
          <w:sz w:val="16"/>
          <w:szCs w:val="16"/>
        </w:rPr>
        <w:t>Measurement relaxation criteria is evaluated using cell quality only, and we do not define beam-specific conditions for RRM measurement relaxation.</w:t>
      </w:r>
    </w:p>
    <w:p>
      <w:pPr>
        <w:pStyle w:val="23"/>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spacing w:after="0"/>
        <w:ind w:left="1621" w:hanging="363"/>
        <w:jc w:val="left"/>
        <w:textAlignment w:val="baseline"/>
        <w:rPr>
          <w:sz w:val="16"/>
          <w:szCs w:val="16"/>
        </w:rPr>
      </w:pPr>
      <w:r>
        <w:rPr>
          <w:sz w:val="16"/>
          <w:szCs w:val="16"/>
        </w:rPr>
        <w:t>2</w:t>
      </w:r>
      <w:r>
        <w:rPr>
          <w:sz w:val="16"/>
          <w:szCs w:val="16"/>
        </w:rPr>
        <w:tab/>
      </w:r>
      <w:r>
        <w:rPr>
          <w:sz w:val="16"/>
          <w:szCs w:val="16"/>
          <w:highlight w:val="green"/>
        </w:rPr>
        <w:t>For not-at-cell-edge scenario, the thresholds can be based on RSRP and/or RSRQ and is configurable by the network. For low-mobility scenario, the thresholds of the delta are only in relation to RSRP.</w:t>
      </w:r>
    </w:p>
    <w:p>
      <w:pPr>
        <w:pStyle w:val="23"/>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spacing w:after="0"/>
        <w:ind w:left="1621" w:hanging="363"/>
        <w:jc w:val="left"/>
        <w:textAlignment w:val="baseline"/>
        <w:rPr>
          <w:sz w:val="16"/>
          <w:szCs w:val="16"/>
        </w:rPr>
      </w:pPr>
      <w:r>
        <w:rPr>
          <w:sz w:val="16"/>
          <w:szCs w:val="16"/>
        </w:rPr>
        <w:t>3</w:t>
      </w:r>
      <w:r>
        <w:rPr>
          <w:sz w:val="16"/>
          <w:szCs w:val="16"/>
        </w:rPr>
        <w:tab/>
      </w:r>
      <w:r>
        <w:rPr>
          <w:sz w:val="16"/>
          <w:szCs w:val="16"/>
        </w:rPr>
        <w:t>Whether higher priority frequencies can be relaxed is up to network configuration.  FFS on how the configuration is done.</w:t>
      </w:r>
    </w:p>
    <w:p>
      <w:pPr>
        <w:pStyle w:val="23"/>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spacing w:after="0"/>
        <w:ind w:left="1621" w:hanging="363"/>
        <w:jc w:val="left"/>
        <w:textAlignment w:val="baseline"/>
        <w:rPr>
          <w:sz w:val="16"/>
          <w:szCs w:val="16"/>
        </w:rPr>
      </w:pPr>
      <w:r>
        <w:rPr>
          <w:sz w:val="16"/>
          <w:szCs w:val="16"/>
        </w:rPr>
        <w:t>4</w:t>
      </w:r>
      <w:r>
        <w:rPr>
          <w:sz w:val="16"/>
          <w:szCs w:val="16"/>
        </w:rPr>
        <w:tab/>
      </w:r>
      <w:r>
        <w:rPr>
          <w:sz w:val="16"/>
          <w:szCs w:val="16"/>
        </w:rPr>
        <w:t>Network configures RRM measurement relaxation via broadcast only; dedicated control is not supported</w:t>
      </w:r>
    </w:p>
    <w:p>
      <w:pPr>
        <w:pStyle w:val="23"/>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val="0"/>
        <w:autoSpaceDN w:val="0"/>
        <w:bidi w:val="0"/>
        <w:adjustRightInd w:val="0"/>
        <w:snapToGrid/>
        <w:spacing w:after="0"/>
        <w:ind w:left="1621" w:hanging="363"/>
        <w:jc w:val="left"/>
        <w:textAlignment w:val="baseline"/>
        <w:rPr>
          <w:sz w:val="16"/>
          <w:szCs w:val="16"/>
        </w:rPr>
      </w:pPr>
      <w:r>
        <w:rPr>
          <w:sz w:val="16"/>
          <w:szCs w:val="16"/>
        </w:rPr>
        <w:t>5</w:t>
      </w:r>
      <w:r>
        <w:rPr>
          <w:sz w:val="16"/>
          <w:szCs w:val="16"/>
        </w:rPr>
        <w:tab/>
      </w:r>
      <w:r>
        <w:rPr>
          <w:sz w:val="16"/>
          <w:szCs w:val="16"/>
        </w:rPr>
        <w:t>For modifications of low-mobility scenario, TSearchDeltaP less than 5 minutes is configurable in NR.</w:t>
      </w:r>
    </w:p>
    <w:p>
      <w:pPr>
        <w:rPr>
          <w:rFonts w:hint="default" w:eastAsia="宋体"/>
          <w:lang w:val="en-US" w:eastAsia="zh-CN"/>
        </w:rPr>
      </w:pPr>
    </w:p>
    <w:p/>
    <w:p>
      <w:pPr>
        <w:rPr>
          <w:rFonts w:hint="eastAsia"/>
          <w:lang w:val="en-US" w:eastAsia="zh-CN"/>
        </w:rPr>
      </w:pPr>
      <w:r>
        <w:rPr>
          <w:rFonts w:hint="eastAsia"/>
          <w:lang w:val="en-US" w:eastAsia="zh-CN"/>
        </w:rPr>
        <w:t>It is clearly that UE use thresholds to decide whether UE fulfills either mobility or not-cell-edge criteria.</w:t>
      </w:r>
    </w:p>
    <w:p>
      <w:pPr>
        <w:rPr>
          <w:rFonts w:hint="eastAsia"/>
          <w:lang w:val="en-US" w:eastAsia="zh-CN"/>
        </w:rPr>
      </w:pPr>
      <w:r>
        <w:rPr>
          <w:rFonts w:hint="eastAsia"/>
          <w:lang w:val="en-US" w:eastAsia="zh-CN"/>
        </w:rPr>
        <w:t>There are 2 critical scenarios in which two typical cell edge problems may occur.</w:t>
      </w:r>
    </w:p>
    <w:p>
      <w:pPr>
        <w:jc w:val="center"/>
      </w:pPr>
      <w:r>
        <w:drawing>
          <wp:inline distT="0" distB="0" distL="114300" distR="114300">
            <wp:extent cx="3415665" cy="2325370"/>
            <wp:effectExtent l="0" t="0" r="13335" b="1778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7"/>
                    <a:stretch>
                      <a:fillRect/>
                    </a:stretch>
                  </pic:blipFill>
                  <pic:spPr>
                    <a:xfrm>
                      <a:off x="0" y="0"/>
                      <a:ext cx="3415665" cy="2325370"/>
                    </a:xfrm>
                    <a:prstGeom prst="rect">
                      <a:avLst/>
                    </a:prstGeom>
                    <a:noFill/>
                    <a:ln>
                      <a:noFill/>
                    </a:ln>
                  </pic:spPr>
                </pic:pic>
              </a:graphicData>
            </a:graphic>
          </wp:inline>
        </w:drawing>
      </w:r>
    </w:p>
    <w:p>
      <w:pPr>
        <w:jc w:val="center"/>
        <w:rPr>
          <w:rFonts w:hint="default" w:eastAsia="宋体"/>
          <w:lang w:val="en-US" w:eastAsia="zh-CN"/>
        </w:rPr>
      </w:pPr>
      <w:r>
        <w:rPr>
          <w:rFonts w:hint="eastAsia" w:eastAsia="宋体"/>
          <w:lang w:val="en-US" w:eastAsia="zh-CN"/>
        </w:rPr>
        <w:t>Figure 1.</w:t>
      </w:r>
    </w:p>
    <w:p>
      <w:pPr>
        <w:rPr>
          <w:rFonts w:hint="default" w:eastAsia="宋体"/>
          <w:lang w:val="en-US" w:eastAsia="zh-CN"/>
        </w:rPr>
      </w:pPr>
      <w:r>
        <w:rPr>
          <w:rFonts w:hint="eastAsia" w:eastAsia="宋体"/>
          <w:lang w:val="en-US" w:eastAsia="zh-CN"/>
        </w:rPr>
        <w:t>In the first scenario, NW configures a tolerant threshold for not-at-cell-edge criteria. As shown in figure 1, the green zone means this area is not the cell edge, and the red part stands for the cell edge area. In other words, upon UE leaves the green zone, measurement relaxation can not be performed. A stationary UE switches to measurement relaxation at the edge of the green zone. Then the UE</w:t>
      </w:r>
      <w:r>
        <w:rPr>
          <w:rFonts w:hint="eastAsia" w:eastAsia="宋体"/>
          <w:highlight w:val="none"/>
          <w:lang w:val="en-US" w:eastAsia="zh-CN"/>
        </w:rPr>
        <w:t xml:space="preserve"> leaves the cell immediately.</w:t>
      </w:r>
      <w:r>
        <w:rPr>
          <w:rFonts w:hint="eastAsia" w:eastAsia="宋体"/>
          <w:lang w:val="en-US" w:eastAsia="zh-CN"/>
        </w:rPr>
        <w:t xml:space="preserve"> Although UE can reselect a cell based on the history measurement record, it has a high risk that NW and UE may lose contact.</w:t>
      </w:r>
    </w:p>
    <w:p>
      <w:pPr>
        <w:jc w:val="center"/>
      </w:pPr>
      <w:r>
        <w:drawing>
          <wp:inline distT="0" distB="0" distL="114300" distR="114300">
            <wp:extent cx="3194685" cy="2164080"/>
            <wp:effectExtent l="0" t="0" r="5715" b="762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8"/>
                    <a:stretch>
                      <a:fillRect/>
                    </a:stretch>
                  </pic:blipFill>
                  <pic:spPr>
                    <a:xfrm>
                      <a:off x="0" y="0"/>
                      <a:ext cx="3194685" cy="2164080"/>
                    </a:xfrm>
                    <a:prstGeom prst="rect">
                      <a:avLst/>
                    </a:prstGeom>
                    <a:noFill/>
                    <a:ln>
                      <a:noFill/>
                    </a:ln>
                  </pic:spPr>
                </pic:pic>
              </a:graphicData>
            </a:graphic>
          </wp:inline>
        </w:drawing>
      </w:r>
    </w:p>
    <w:p>
      <w:pPr>
        <w:jc w:val="center"/>
        <w:rPr>
          <w:rFonts w:hint="eastAsia" w:eastAsia="宋体"/>
          <w:lang w:val="en-US" w:eastAsia="zh-CN"/>
        </w:rPr>
      </w:pPr>
      <w:r>
        <w:rPr>
          <w:rFonts w:hint="eastAsia" w:eastAsia="宋体"/>
          <w:lang w:val="en-US" w:eastAsia="zh-CN"/>
        </w:rPr>
        <w:t>Figure 2.</w:t>
      </w:r>
    </w:p>
    <w:p>
      <w:pPr>
        <w:rPr>
          <w:rFonts w:hint="default" w:eastAsia="宋体"/>
          <w:lang w:val="en-US" w:eastAsia="zh-CN"/>
        </w:rPr>
      </w:pPr>
      <w:r>
        <w:rPr>
          <w:rFonts w:hint="eastAsia" w:eastAsia="宋体"/>
          <w:lang w:val="en-US" w:eastAsia="zh-CN"/>
        </w:rPr>
        <w:t xml:space="preserve">In the other critical scenario, severe thresholds are configured to UE. And the condition is shown in the figure 2. UE has few chance to switch to relaxed status in this cell as the cell edge which is defined by threshold is too large. Even though a UE with relaxed status located at the edge of green zone suddenly leaves this cell with high speed, it has enough time/space to prospect neighbouring cells. </w:t>
      </w:r>
    </w:p>
    <w:p>
      <w:pPr>
        <w:rPr>
          <w:rFonts w:hint="default" w:eastAsia="宋体"/>
          <w:b w:val="0"/>
          <w:bCs w:val="0"/>
          <w:lang w:val="en-US" w:eastAsia="zh-CN"/>
        </w:rPr>
      </w:pPr>
      <w:r>
        <w:rPr>
          <w:rFonts w:hint="eastAsia" w:eastAsia="宋体"/>
          <w:b/>
          <w:bCs/>
          <w:lang w:val="en-US" w:eastAsia="zh-CN"/>
        </w:rPr>
        <w:t>Observation 3: The level of threshold can impact the UE</w:t>
      </w:r>
      <w:r>
        <w:rPr>
          <w:rFonts w:hint="default" w:eastAsia="宋体"/>
          <w:b/>
          <w:bCs/>
          <w:lang w:val="en-US" w:eastAsia="zh-CN"/>
        </w:rPr>
        <w:t>’</w:t>
      </w:r>
      <w:r>
        <w:rPr>
          <w:rFonts w:hint="eastAsia" w:eastAsia="宋体"/>
          <w:b/>
          <w:bCs/>
          <w:lang w:val="en-US" w:eastAsia="zh-CN"/>
        </w:rPr>
        <w:t xml:space="preserve">s performance in cell reselection observably. </w:t>
      </w:r>
    </w:p>
    <w:p>
      <w:pPr>
        <w:rPr>
          <w:rFonts w:hint="default" w:eastAsia="宋体"/>
          <w:b w:val="0"/>
          <w:bCs w:val="0"/>
          <w:lang w:val="en-US" w:eastAsia="zh-CN"/>
        </w:rPr>
      </w:pPr>
      <w:r>
        <w:rPr>
          <w:rFonts w:hint="eastAsia" w:eastAsia="宋体"/>
          <w:b w:val="0"/>
          <w:bCs w:val="0"/>
          <w:lang w:val="en-US" w:eastAsia="zh-CN"/>
        </w:rPr>
        <w:t xml:space="preserve">From the above two critical scenarios we can deduce that the measurement relaxation may have negative impact to the cell reselection(and ETWS/CMAS). The influence level depends on the triggering criteria of measurement relaxation. Therefore, appropriate relaxation thresholds can not only minimize the negative influence but also balance the UE performance and power consumption. </w:t>
      </w:r>
    </w:p>
    <w:p>
      <w:pPr>
        <w:rPr>
          <w:rFonts w:hint="default" w:eastAsia="宋体"/>
          <w:b/>
          <w:bCs/>
          <w:highlight w:val="none"/>
          <w:lang w:val="en-US" w:eastAsia="zh-CN"/>
        </w:rPr>
      </w:pPr>
      <w:r>
        <w:rPr>
          <w:rFonts w:hint="eastAsia" w:eastAsia="宋体"/>
          <w:b/>
          <w:bCs/>
          <w:highlight w:val="none"/>
          <w:lang w:val="en-US" w:eastAsia="zh-CN"/>
        </w:rPr>
        <w:t>Proposal 2: There is little change for measurement relaxation to have negative influence if the level of triggering criteria are set appropriately.</w:t>
      </w:r>
    </w:p>
    <w:p>
      <w:pPr>
        <w:rPr>
          <w:rFonts w:hint="default" w:eastAsia="宋体"/>
          <w:b w:val="0"/>
          <w:bCs w:val="0"/>
          <w:lang w:val="en-US" w:eastAsia="zh-CN"/>
        </w:rPr>
      </w:pPr>
      <w:r>
        <w:rPr>
          <w:rFonts w:hint="eastAsia" w:eastAsia="宋体"/>
          <w:b w:val="0"/>
          <w:bCs w:val="0"/>
          <w:lang w:val="en-US" w:eastAsia="zh-CN"/>
        </w:rPr>
        <w:t>It should be noticed that RAN2 has already send LS to RAN4 in RAN2#108</w:t>
      </w:r>
      <w:r>
        <w:rPr>
          <w:rFonts w:hint="eastAsia" w:eastAsia="宋体"/>
          <w:b w:val="0"/>
          <w:bCs w:val="0"/>
          <w:highlight w:val="none"/>
          <w:lang w:val="en-US" w:eastAsia="zh-CN"/>
        </w:rPr>
        <w:t xml:space="preserve"> (R2-1916375) .</w:t>
      </w:r>
      <w:r>
        <w:rPr>
          <w:rFonts w:hint="eastAsia" w:eastAsia="宋体"/>
          <w:b w:val="0"/>
          <w:bCs w:val="0"/>
          <w:lang w:val="en-US" w:eastAsia="zh-CN"/>
        </w:rPr>
        <w:t>In the LS, RAN2 confirms that RAN2 will keep respecting RAN4</w:t>
      </w:r>
      <w:r>
        <w:rPr>
          <w:rFonts w:hint="default" w:eastAsia="宋体"/>
          <w:b w:val="0"/>
          <w:bCs w:val="0"/>
          <w:lang w:val="en-US" w:eastAsia="zh-CN"/>
        </w:rPr>
        <w:t>’</w:t>
      </w:r>
      <w:r>
        <w:rPr>
          <w:rFonts w:hint="eastAsia" w:eastAsia="宋体"/>
          <w:b w:val="0"/>
          <w:bCs w:val="0"/>
          <w:lang w:val="en-US" w:eastAsia="zh-CN"/>
        </w:rPr>
        <w:t>s agreements in RRM relaxation. So we suggest:</w:t>
      </w:r>
    </w:p>
    <w:p>
      <w:pPr>
        <w:rPr>
          <w:rFonts w:hint="default" w:eastAsia="宋体"/>
          <w:lang w:val="en-US" w:eastAsia="zh-CN"/>
        </w:rPr>
      </w:pPr>
      <w:r>
        <w:rPr>
          <w:rFonts w:hint="eastAsia" w:eastAsia="宋体"/>
          <w:b/>
          <w:bCs/>
          <w:lang w:val="en-US" w:eastAsia="zh-CN"/>
        </w:rPr>
        <w:t>Proposal 3: Send LS to RAN4 and let them know RAN2</w:t>
      </w:r>
      <w:r>
        <w:rPr>
          <w:rFonts w:hint="default" w:eastAsia="宋体"/>
          <w:b/>
          <w:bCs/>
          <w:lang w:val="en-US" w:eastAsia="zh-CN"/>
        </w:rPr>
        <w:t>’</w:t>
      </w:r>
      <w:r>
        <w:rPr>
          <w:rFonts w:hint="eastAsia" w:eastAsia="宋体"/>
          <w:b/>
          <w:bCs/>
          <w:lang w:val="en-US" w:eastAsia="zh-CN"/>
        </w:rPr>
        <w:t>s concern and study results so far.</w:t>
      </w:r>
    </w:p>
    <w:p>
      <w:pPr>
        <w:pStyle w:val="2"/>
        <w:bidi w:val="0"/>
        <w:rPr>
          <w:rFonts w:hint="eastAsia"/>
          <w:lang w:val="en-US" w:eastAsia="zh-CN"/>
        </w:rPr>
      </w:pPr>
      <w:r>
        <w:rPr>
          <w:rFonts w:hint="eastAsia"/>
          <w:lang w:val="en-US" w:eastAsia="zh-CN"/>
        </w:rPr>
        <w:t>Conclusion</w:t>
      </w:r>
    </w:p>
    <w:p>
      <w:pPr>
        <w:rPr>
          <w:rFonts w:hint="eastAsia" w:eastAsia="宋体"/>
          <w:b/>
          <w:bCs/>
          <w:lang w:val="en-US" w:eastAsia="zh-CN"/>
        </w:rPr>
      </w:pPr>
      <w:r>
        <w:rPr>
          <w:rFonts w:hint="eastAsia" w:eastAsia="宋体"/>
          <w:b/>
          <w:bCs/>
          <w:lang w:val="en-US" w:eastAsia="zh-CN"/>
        </w:rPr>
        <w:t>Observation 1: The implementation of ETWS/CMAS is based on the paging of the serving cell.</w:t>
      </w:r>
    </w:p>
    <w:p>
      <w:pPr>
        <w:bidi w:val="0"/>
        <w:rPr>
          <w:rFonts w:hint="eastAsia"/>
          <w:b/>
          <w:bCs/>
          <w:lang w:val="en-US" w:eastAsia="zh-CN"/>
        </w:rPr>
      </w:pPr>
      <w:r>
        <w:rPr>
          <w:rFonts w:hint="eastAsia"/>
          <w:b/>
          <w:bCs/>
          <w:lang w:val="en-US" w:eastAsia="zh-CN"/>
        </w:rPr>
        <w:t>Proposal 1: ETWS/CMAS can work normally if UE can detect and receive the paging message periodically from the serving cell.</w:t>
      </w:r>
    </w:p>
    <w:p>
      <w:pPr>
        <w:rPr>
          <w:rFonts w:hint="eastAsia"/>
          <w:b/>
          <w:bCs/>
          <w:lang w:val="en-US" w:eastAsia="zh-CN"/>
        </w:rPr>
      </w:pPr>
      <w:r>
        <w:rPr>
          <w:rFonts w:hint="eastAsia"/>
          <w:b/>
          <w:bCs/>
          <w:lang w:val="en-US" w:eastAsia="zh-CN"/>
        </w:rPr>
        <w:t>Observation 2: RRM relaxation may reduce the UE</w:t>
      </w:r>
      <w:r>
        <w:rPr>
          <w:rFonts w:hint="default"/>
          <w:b/>
          <w:bCs/>
          <w:lang w:val="en-US" w:eastAsia="zh-CN"/>
        </w:rPr>
        <w:t>’</w:t>
      </w:r>
      <w:r>
        <w:rPr>
          <w:rFonts w:hint="eastAsia"/>
          <w:b/>
          <w:bCs/>
          <w:lang w:val="en-US" w:eastAsia="zh-CN"/>
        </w:rPr>
        <w:t>s prospecting level of the neighbouring cells.</w:t>
      </w:r>
    </w:p>
    <w:p>
      <w:pPr>
        <w:rPr>
          <w:rFonts w:hint="default" w:eastAsia="宋体"/>
          <w:b w:val="0"/>
          <w:bCs w:val="0"/>
          <w:lang w:val="en-US" w:eastAsia="zh-CN"/>
        </w:rPr>
      </w:pPr>
      <w:r>
        <w:rPr>
          <w:rFonts w:hint="eastAsia" w:eastAsia="宋体"/>
          <w:b/>
          <w:bCs/>
          <w:lang w:val="en-US" w:eastAsia="zh-CN"/>
        </w:rPr>
        <w:t>Observation 3: The level of threshold can impact the UE</w:t>
      </w:r>
      <w:r>
        <w:rPr>
          <w:rFonts w:hint="default" w:eastAsia="宋体"/>
          <w:b/>
          <w:bCs/>
          <w:lang w:val="en-US" w:eastAsia="zh-CN"/>
        </w:rPr>
        <w:t>’</w:t>
      </w:r>
      <w:r>
        <w:rPr>
          <w:rFonts w:hint="eastAsia" w:eastAsia="宋体"/>
          <w:b/>
          <w:bCs/>
          <w:lang w:val="en-US" w:eastAsia="zh-CN"/>
        </w:rPr>
        <w:t xml:space="preserve">s performance in cell reselection observably. </w:t>
      </w:r>
    </w:p>
    <w:p>
      <w:pPr>
        <w:rPr>
          <w:rFonts w:hint="default" w:eastAsia="宋体"/>
          <w:b/>
          <w:bCs/>
          <w:highlight w:val="none"/>
          <w:lang w:val="en-US" w:eastAsia="zh-CN"/>
        </w:rPr>
      </w:pPr>
      <w:r>
        <w:rPr>
          <w:rFonts w:hint="eastAsia" w:eastAsia="宋体"/>
          <w:b/>
          <w:bCs/>
          <w:highlight w:val="none"/>
          <w:lang w:val="en-US" w:eastAsia="zh-CN"/>
        </w:rPr>
        <w:t>Proposal 2: There is little change for measurement relaxation to have negative influence if the level of triggering criteria are set appropriately.</w:t>
      </w:r>
    </w:p>
    <w:p>
      <w:pPr>
        <w:rPr>
          <w:rFonts w:hint="eastAsia"/>
          <w:lang w:val="en-US" w:eastAsia="zh-CN"/>
        </w:rPr>
      </w:pPr>
      <w:r>
        <w:rPr>
          <w:rFonts w:hint="eastAsia" w:eastAsia="宋体"/>
          <w:b/>
          <w:bCs/>
          <w:lang w:val="en-US" w:eastAsia="zh-CN"/>
        </w:rPr>
        <w:t>Proposal 3: Send LS to RAN4 and let them know RAN2</w:t>
      </w:r>
      <w:r>
        <w:rPr>
          <w:rFonts w:hint="default" w:eastAsia="宋体"/>
          <w:b/>
          <w:bCs/>
          <w:lang w:val="en-US" w:eastAsia="zh-CN"/>
        </w:rPr>
        <w:t>’</w:t>
      </w:r>
      <w:r>
        <w:rPr>
          <w:rFonts w:hint="eastAsia" w:eastAsia="宋体"/>
          <w:b/>
          <w:bCs/>
          <w:lang w:val="en-US" w:eastAsia="zh-CN"/>
        </w:rPr>
        <w:t>s concern and study results so far.</w:t>
      </w:r>
    </w:p>
    <w:p>
      <w:pPr>
        <w:pStyle w:val="2"/>
        <w:bidi w:val="0"/>
        <w:rPr>
          <w:rFonts w:hint="default"/>
          <w:lang w:val="en-US" w:eastAsia="zh-CN"/>
        </w:rPr>
      </w:pPr>
      <w:r>
        <w:rPr>
          <w:rFonts w:hint="eastAsia"/>
          <w:lang w:val="en-US" w:eastAsia="zh-CN"/>
        </w:rPr>
        <w:t>Reference</w:t>
      </w:r>
    </w:p>
    <w:p>
      <w:pPr>
        <w:pStyle w:val="23"/>
        <w:ind w:left="0" w:leftChars="0" w:firstLine="0" w:firstLineChars="0"/>
        <w:rPr>
          <w:rFonts w:hint="default" w:ascii="Times New Roman" w:hAnsi="Times New Roman" w:cs="Times New Roman"/>
          <w:lang w:val="en-US" w:eastAsia="zh-CN"/>
        </w:rPr>
      </w:pPr>
      <w:r>
        <w:rPr>
          <w:rFonts w:hint="eastAsia"/>
          <w:lang w:val="en-US" w:eastAsia="zh-CN"/>
        </w:rPr>
        <w:t>[1]</w:t>
      </w:r>
      <w:r>
        <w:rPr>
          <w:rFonts w:hint="eastAsia" w:ascii="Times New Roman" w:hAnsi="Times New Roman" w:cs="Times New Roman"/>
          <w:lang w:val="en-US" w:eastAsia="zh-CN"/>
        </w:rPr>
        <w:t xml:space="preserve"> TS 22.268 V16.3.0 </w:t>
      </w:r>
      <w:r>
        <w:rPr>
          <w:rFonts w:hint="default" w:ascii="Times New Roman" w:hAnsi="Times New Roman" w:cs="Times New Roman"/>
          <w:lang w:val="en-US" w:eastAsia="zh-CN"/>
        </w:rPr>
        <w:t>“</w:t>
      </w:r>
      <w:r>
        <w:rPr>
          <w:rFonts w:hint="eastAsia" w:ascii="Times New Roman" w:hAnsi="Times New Roman" w:cs="Times New Roman"/>
          <w:lang w:val="en-US" w:eastAsia="zh-CN"/>
        </w:rPr>
        <w:t>Public Warning System requirements</w:t>
      </w:r>
      <w:r>
        <w:rPr>
          <w:rFonts w:hint="default" w:ascii="Times New Roman" w:hAnsi="Times New Roman" w:cs="Times New Roman"/>
          <w:lang w:val="en-US" w:eastAsia="zh-CN"/>
        </w:rPr>
        <w:t>”</w:t>
      </w:r>
    </w:p>
    <w:p>
      <w:pPr>
        <w:rPr>
          <w:rFonts w:hint="default"/>
          <w:lang w:val="en-US" w:eastAsia="zh-CN"/>
        </w:rPr>
      </w:pPr>
      <w:r>
        <w:rPr>
          <w:rFonts w:hint="eastAsia"/>
          <w:lang w:val="en-US" w:eastAsia="zh-CN"/>
        </w:rPr>
        <w:t xml:space="preserve">[2] </w:t>
      </w:r>
      <w:r>
        <w:rPr>
          <w:rFonts w:hint="default"/>
          <w:lang w:val="en-US" w:eastAsia="zh-CN"/>
        </w:rPr>
        <w:t>R2-1916375</w:t>
      </w:r>
      <w:r>
        <w:rPr>
          <w:rFonts w:hint="default"/>
          <w:lang w:val="en-US" w:eastAsia="zh-CN"/>
        </w:rPr>
        <w:tab/>
      </w:r>
      <w:r>
        <w:rPr>
          <w:rFonts w:hint="default"/>
          <w:lang w:val="en-US" w:eastAsia="zh-CN"/>
        </w:rPr>
        <w:t>LS to RAN4 on RAN2 agreements  Mediatek</w:t>
      </w:r>
    </w:p>
    <w:p>
      <w:pPr>
        <w:rPr>
          <w:rFonts w:hint="default" w:eastAsia="宋体"/>
          <w:lang w:val="en-US" w:eastAsia="zh-CN"/>
        </w:rPr>
      </w:pPr>
    </w:p>
    <w:p>
      <w:pPr>
        <w:rPr>
          <w:rFonts w:hint="default" w:eastAsia="宋体"/>
          <w:lang w:val="en-US" w:eastAsia="zh-CN"/>
        </w:rPr>
      </w:pPr>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New York">
    <w:altName w:val="Segoe Print"/>
    <w:panose1 w:val="02040503060506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roman"/>
    <w:pitch w:val="default"/>
    <w:sig w:usb0="E0002AFF" w:usb1="C0007843" w:usb2="00000009" w:usb3="00000000" w:csb0="400001FF" w:csb1="FFFF0000"/>
  </w:font>
  <w:font w:name="Calibri">
    <w:panose1 w:val="020F0502020204030204"/>
    <w:charset w:val="00"/>
    <w:family w:val="auto"/>
    <w:pitch w:val="default"/>
    <w:sig w:usb0="E00002FF" w:usb1="4000ACFF" w:usb2="00000001" w:usb3="00000000" w:csb0="200001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page" w:x="9541" w:yAlign="top"/>
      <w:rPr>
        <w:rStyle w:val="15"/>
      </w:rPr>
    </w:pPr>
    <w:r>
      <w:rPr>
        <w:rStyle w:val="15"/>
        <w:rFonts w:hint="eastAsia"/>
      </w:rPr>
      <w:t>第</w:t>
    </w:r>
    <w:r>
      <w:rPr>
        <w:rStyle w:val="15"/>
      </w:rPr>
      <w:fldChar w:fldCharType="begin"/>
    </w:r>
    <w:r>
      <w:rPr>
        <w:rStyle w:val="15"/>
      </w:rPr>
      <w:instrText xml:space="preserve">PAGE  </w:instrText>
    </w:r>
    <w:r>
      <w:rPr>
        <w:rStyle w:val="15"/>
      </w:rPr>
      <w:fldChar w:fldCharType="separate"/>
    </w:r>
    <w:r>
      <w:rPr>
        <w:rStyle w:val="15"/>
      </w:rPr>
      <w:t>1</w:t>
    </w:r>
    <w:r>
      <w:rPr>
        <w:rStyle w:val="15"/>
      </w:rPr>
      <w:fldChar w:fldCharType="end"/>
    </w:r>
    <w:r>
      <w:rPr>
        <w:rStyle w:val="15"/>
        <w:rFonts w:hint="eastAsia"/>
      </w:rPr>
      <w:t>页</w:t>
    </w:r>
  </w:p>
  <w:p>
    <w:pPr>
      <w:pStyle w:val="10"/>
      <w:ind w:right="360"/>
      <w:jc w:val="both"/>
      <w:rPr>
        <w:rFonts w:ascii="宋体" w:hAnsi="宋体"/>
      </w:rPr>
    </w:pPr>
    <w:r>
      <w:t>&lt;</w:t>
    </w:r>
    <w:r>
      <w:rPr>
        <w:rFonts w:hint="eastAsia" w:hAnsi="宋体"/>
      </w:rPr>
      <w:t>以上</w:t>
    </w:r>
    <w:r>
      <w:rPr>
        <w:rFonts w:hAnsi="宋体"/>
      </w:rPr>
      <w:t>所有信息均为中兴通讯股份有限公司</w:t>
    </w:r>
    <w:r>
      <w:rPr>
        <w:rFonts w:hint="eastAsia" w:hAnsi="宋体"/>
      </w:rPr>
      <w:t>所有</w:t>
    </w:r>
    <w:r>
      <w:rPr>
        <w:rFonts w:hAnsi="宋体"/>
      </w:rPr>
      <w:t>，不</w:t>
    </w:r>
    <w:r>
      <w:rPr>
        <w:rFonts w:hint="eastAsia" w:hAnsi="宋体"/>
      </w:rPr>
      <w:t>得</w:t>
    </w:r>
    <w:r>
      <w:rPr>
        <w:rFonts w:hAnsi="宋体"/>
      </w:rPr>
      <w:t>外传</w:t>
    </w:r>
    <w:r>
      <w:t>&gt;</w:t>
    </w: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15"/>
      </w:rPr>
    </w:pPr>
    <w:r>
      <w:rPr>
        <w:rStyle w:val="15"/>
      </w:rPr>
      <w:fldChar w:fldCharType="begin"/>
    </w:r>
    <w:r>
      <w:rPr>
        <w:rStyle w:val="15"/>
      </w:rPr>
      <w:instrText xml:space="preserve">PAGE  </w:instrText>
    </w:r>
    <w:r>
      <w:rPr>
        <w:rStyle w:val="15"/>
      </w:rPr>
      <w:fldChar w:fldCharType="end"/>
    </w:r>
  </w:p>
  <w:p>
    <w:pPr>
      <w:pStyle w:val="1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r>
      <w:rPr>
        <w:rFonts w:cs="宋体"/>
        <w:color w:val="000000"/>
        <w:kern w:val="0"/>
        <w:sz w:val="20"/>
        <w:szCs w:val="20"/>
      </w:rPr>
      <w:drawing>
        <wp:anchor distT="0" distB="0" distL="114300" distR="114300" simplePos="0" relativeHeight="251658240" behindDoc="0" locked="0" layoutInCell="1" allowOverlap="1">
          <wp:simplePos x="0" y="0"/>
          <wp:positionH relativeFrom="margin">
            <wp:posOffset>-46990</wp:posOffset>
          </wp:positionH>
          <wp:positionV relativeFrom="paragraph">
            <wp:posOffset>278130</wp:posOffset>
          </wp:positionV>
          <wp:extent cx="5387975" cy="52070"/>
          <wp:effectExtent l="19050" t="0" r="3175" b="0"/>
          <wp:wrapTopAndBottom/>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
                  <a:srcRect/>
                  <a:stretch>
                    <a:fillRect/>
                  </a:stretch>
                </pic:blipFill>
                <pic:spPr>
                  <a:xfrm>
                    <a:off x="0" y="0"/>
                    <a:ext cx="5387975" cy="52070"/>
                  </a:xfrm>
                  <a:prstGeom prst="rect">
                    <a:avLst/>
                  </a:prstGeom>
                  <a:noFill/>
                  <a:ln w="9525">
                    <a:noFill/>
                    <a:miter lim="800000"/>
                    <a:headEnd/>
                    <a:tailEnd/>
                  </a:ln>
                </pic:spPr>
              </pic:pic>
            </a:graphicData>
          </a:graphic>
        </wp:anchor>
      </w:drawing>
    </w:r>
    <w:r>
      <w:drawing>
        <wp:inline distT="0" distB="0" distL="0" distR="0">
          <wp:extent cx="885825" cy="228600"/>
          <wp:effectExtent l="19050" t="0" r="9525" b="0"/>
          <wp:docPr id="1" name="图片 4" descr="未标题-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未标题-9-01"/>
                  <pic:cNvPicPr>
                    <a:picLocks noChangeAspect="1" noChangeArrowheads="1"/>
                  </pic:cNvPicPr>
                </pic:nvPicPr>
                <pic:blipFill>
                  <a:blip r:embed="rId2"/>
                  <a:srcRect/>
                  <a:stretch>
                    <a:fillRect/>
                  </a:stretch>
                </pic:blipFill>
                <pic:spPr>
                  <a:xfrm>
                    <a:off x="0" y="0"/>
                    <a:ext cx="885825" cy="228600"/>
                  </a:xfrm>
                  <a:prstGeom prst="rect">
                    <a:avLst/>
                  </a:prstGeom>
                  <a:noFill/>
                  <a:ln w="9525">
                    <a:noFill/>
                    <a:miter lim="800000"/>
                    <a:headEnd/>
                    <a:tailEnd/>
                  </a:ln>
                </pic:spPr>
              </pic:pic>
            </a:graphicData>
          </a:graphic>
        </wp:inline>
      </w:drawing>
    </w:r>
    <w:r>
      <w:rPr>
        <w:rFonts w:hint="eastAsia"/>
      </w:rPr>
      <w:t xml:space="preserve">                                                           </w:t>
    </w:r>
    <w:r>
      <w:rPr>
        <w:rFonts w:hint="eastAsia" w:ascii="宋体" w:hAnsi="宋体" w:cs="仿宋_GB2312"/>
        <w:color w:val="000000"/>
        <w:kern w:val="0"/>
        <w:szCs w:val="21"/>
      </w:rPr>
      <w:t>秘密</w:t>
    </w:r>
    <w:r>
      <w:rPr>
        <w:rFonts w:hint="eastAsia"/>
        <w:color w:val="000000"/>
        <w:kern w:val="0"/>
        <w:szCs w:val="21"/>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10E5EFC"/>
    <w:multiLevelType w:val="multilevel"/>
    <w:tmpl w:val="210E5EFC"/>
    <w:lvl w:ilvl="0" w:tentative="0">
      <w:start w:val="1"/>
      <w:numFmt w:val="bullet"/>
      <w:pStyle w:val="2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EE148E3"/>
    <w:multiLevelType w:val="multilevel"/>
    <w:tmpl w:val="4EE148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C21"/>
    <w:rsid w:val="00092939"/>
    <w:rsid w:val="00126145"/>
    <w:rsid w:val="001767E6"/>
    <w:rsid w:val="00190A8D"/>
    <w:rsid w:val="001B21A1"/>
    <w:rsid w:val="002333B7"/>
    <w:rsid w:val="00244D42"/>
    <w:rsid w:val="002D35FA"/>
    <w:rsid w:val="00312C1A"/>
    <w:rsid w:val="00312DD1"/>
    <w:rsid w:val="0033176D"/>
    <w:rsid w:val="003504B5"/>
    <w:rsid w:val="003A2A06"/>
    <w:rsid w:val="003F58F6"/>
    <w:rsid w:val="00413229"/>
    <w:rsid w:val="00427917"/>
    <w:rsid w:val="0046088D"/>
    <w:rsid w:val="0048006F"/>
    <w:rsid w:val="004C63EE"/>
    <w:rsid w:val="004C7BFA"/>
    <w:rsid w:val="004D79CC"/>
    <w:rsid w:val="0051029C"/>
    <w:rsid w:val="005D680C"/>
    <w:rsid w:val="005F56A6"/>
    <w:rsid w:val="00620346"/>
    <w:rsid w:val="00690BB8"/>
    <w:rsid w:val="006C60A2"/>
    <w:rsid w:val="006D7CA8"/>
    <w:rsid w:val="00763814"/>
    <w:rsid w:val="00771468"/>
    <w:rsid w:val="00793203"/>
    <w:rsid w:val="00796A2A"/>
    <w:rsid w:val="007A2A69"/>
    <w:rsid w:val="007C2C21"/>
    <w:rsid w:val="007C33E4"/>
    <w:rsid w:val="007E771D"/>
    <w:rsid w:val="00872250"/>
    <w:rsid w:val="0096003B"/>
    <w:rsid w:val="00971DDC"/>
    <w:rsid w:val="00992DCD"/>
    <w:rsid w:val="009D6233"/>
    <w:rsid w:val="009E748B"/>
    <w:rsid w:val="00A22250"/>
    <w:rsid w:val="00A95088"/>
    <w:rsid w:val="00AC4276"/>
    <w:rsid w:val="00AE7865"/>
    <w:rsid w:val="00B12666"/>
    <w:rsid w:val="00C50168"/>
    <w:rsid w:val="00D85273"/>
    <w:rsid w:val="00DA12AB"/>
    <w:rsid w:val="00E153F6"/>
    <w:rsid w:val="00E26FED"/>
    <w:rsid w:val="00E43842"/>
    <w:rsid w:val="00E943EE"/>
    <w:rsid w:val="00F01A21"/>
    <w:rsid w:val="00F204EA"/>
    <w:rsid w:val="00FF0AAD"/>
    <w:rsid w:val="03BC4495"/>
    <w:rsid w:val="0B01422F"/>
    <w:rsid w:val="12363F78"/>
    <w:rsid w:val="1DAC5DED"/>
    <w:rsid w:val="21866F45"/>
    <w:rsid w:val="26853EB4"/>
    <w:rsid w:val="34EA31F0"/>
    <w:rsid w:val="3FC33F4A"/>
    <w:rsid w:val="44C70D28"/>
    <w:rsid w:val="45251FF7"/>
    <w:rsid w:val="473A0E76"/>
    <w:rsid w:val="52DD742E"/>
    <w:rsid w:val="5363569C"/>
    <w:rsid w:val="54FA3444"/>
    <w:rsid w:val="5B81486E"/>
    <w:rsid w:val="5C220217"/>
    <w:rsid w:val="67B27927"/>
    <w:rsid w:val="69797C2C"/>
    <w:rsid w:val="6A6C706C"/>
    <w:rsid w:val="6CE3001A"/>
    <w:rsid w:val="76CD6BB0"/>
    <w:rsid w:val="7E570D0E"/>
    <w:rsid w:val="7F6423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qFormat="1"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Times New Roman" w:hAnsi="Times New Roman" w:eastAsia="Times New Roman" w:cs="Times New Roman"/>
      <w:b/>
      <w:sz w:val="32"/>
      <w:szCs w:val="36"/>
      <w:lang w:val="en-GB" w:eastAsia="zh-CN" w:bidi="ar-SA"/>
    </w:rPr>
  </w:style>
  <w:style w:type="paragraph" w:styleId="3">
    <w:name w:val="heading 2"/>
    <w:basedOn w:val="2"/>
    <w:next w:val="1"/>
    <w:qFormat/>
    <w:uiPriority w:val="0"/>
    <w:pPr>
      <w:pBdr>
        <w:top w:val="none" w:color="auto" w:sz="0" w:space="0"/>
      </w:pBdr>
      <w:spacing w:before="180"/>
      <w:outlineLvl w:val="1"/>
    </w:pPr>
    <w:rPr>
      <w:sz w:val="28"/>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text"/>
    <w:basedOn w:val="1"/>
    <w:semiHidden/>
    <w:unhideWhenUsed/>
    <w:qFormat/>
    <w:uiPriority w:val="0"/>
    <w:pPr>
      <w:jc w:val="left"/>
    </w:pPr>
  </w:style>
  <w:style w:type="paragraph" w:styleId="7">
    <w:name w:val="List 2"/>
    <w:basedOn w:val="8"/>
    <w:qFormat/>
    <w:uiPriority w:val="0"/>
    <w:pPr>
      <w:ind w:left="851"/>
    </w:pPr>
  </w:style>
  <w:style w:type="paragraph" w:styleId="8">
    <w:name w:val="List"/>
    <w:basedOn w:val="1"/>
    <w:qFormat/>
    <w:uiPriority w:val="0"/>
    <w:pPr>
      <w:ind w:left="568" w:hanging="284"/>
    </w:pPr>
  </w:style>
  <w:style w:type="paragraph" w:styleId="9">
    <w:name w:val="Balloon Text"/>
    <w:basedOn w:val="1"/>
    <w:link w:val="17"/>
    <w:unhideWhenUsed/>
    <w:qFormat/>
    <w:uiPriority w:val="99"/>
    <w:rPr>
      <w:sz w:val="18"/>
      <w:szCs w:val="18"/>
    </w:rPr>
  </w:style>
  <w:style w:type="paragraph" w:styleId="10">
    <w:name w:val="footer"/>
    <w:basedOn w:val="1"/>
    <w:semiHidden/>
    <w:qFormat/>
    <w:uiPriority w:val="0"/>
    <w:pPr>
      <w:tabs>
        <w:tab w:val="center" w:pos="4153"/>
        <w:tab w:val="right" w:pos="8306"/>
      </w:tabs>
      <w:snapToGrid w:val="0"/>
      <w:jc w:val="left"/>
    </w:pPr>
    <w:rPr>
      <w:sz w:val="18"/>
      <w:szCs w:val="18"/>
    </w:rPr>
  </w:style>
  <w:style w:type="paragraph" w:styleId="11">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0"/>
    <w:pPr>
      <w:spacing w:before="120" w:line="280" w:lineRule="atLeast"/>
      <w:jc w:val="both"/>
    </w:pPr>
    <w:rPr>
      <w:rFonts w:ascii="New York" w:hAnsi="New York"/>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5">
    <w:name w:val="page number"/>
    <w:basedOn w:val="14"/>
    <w:semiHidden/>
    <w:qFormat/>
    <w:uiPriority w:val="0"/>
  </w:style>
  <w:style w:type="character" w:styleId="16">
    <w:name w:val="Hyperlink"/>
    <w:qFormat/>
    <w:uiPriority w:val="99"/>
    <w:rPr>
      <w:color w:val="0000FF"/>
      <w:u w:val="single"/>
    </w:rPr>
  </w:style>
  <w:style w:type="character" w:customStyle="1" w:styleId="17">
    <w:name w:val="批注框文本 字符"/>
    <w:basedOn w:val="14"/>
    <w:link w:val="9"/>
    <w:semiHidden/>
    <w:qFormat/>
    <w:uiPriority w:val="99"/>
    <w:rPr>
      <w:kern w:val="2"/>
      <w:sz w:val="18"/>
      <w:szCs w:val="18"/>
    </w:rPr>
  </w:style>
  <w:style w:type="paragraph" w:customStyle="1" w:styleId="18">
    <w:name w:val="CR Cover Page"/>
    <w:qFormat/>
    <w:uiPriority w:val="0"/>
    <w:pPr>
      <w:spacing w:after="120"/>
    </w:pPr>
    <w:rPr>
      <w:rFonts w:ascii="Arial" w:hAnsi="Arial" w:eastAsia="宋体" w:cs="Times New Roman"/>
      <w:lang w:val="en-GB" w:eastAsia="en-US" w:bidi="ar-SA"/>
    </w:rPr>
  </w:style>
  <w:style w:type="paragraph" w:customStyle="1" w:styleId="19">
    <w:name w:val="3GPP_Header"/>
    <w:basedOn w:val="1"/>
    <w:qFormat/>
    <w:uiPriority w:val="0"/>
    <w:pPr>
      <w:tabs>
        <w:tab w:val="left" w:pos="1701"/>
        <w:tab w:val="right" w:pos="9639"/>
      </w:tabs>
      <w:spacing w:after="240"/>
    </w:pPr>
    <w:rPr>
      <w:b/>
      <w:sz w:val="24"/>
    </w:rPr>
  </w:style>
  <w:style w:type="paragraph" w:styleId="20">
    <w:name w:val="List Paragraph"/>
    <w:basedOn w:val="1"/>
    <w:qFormat/>
    <w:uiPriority w:val="34"/>
    <w:pPr>
      <w:numPr>
        <w:ilvl w:val="0"/>
        <w:numId w:val="2"/>
      </w:numPr>
      <w:overflowPunct/>
      <w:autoSpaceDE/>
      <w:autoSpaceDN/>
      <w:adjustRightInd/>
      <w:spacing w:after="120"/>
      <w:textAlignment w:val="auto"/>
    </w:pPr>
    <w:rPr>
      <w:szCs w:val="24"/>
      <w:lang w:val="en-US" w:eastAsia="zh-CN"/>
    </w:rPr>
  </w:style>
  <w:style w:type="paragraph" w:customStyle="1" w:styleId="21">
    <w:name w:val="B1"/>
    <w:basedOn w:val="8"/>
    <w:qFormat/>
    <w:uiPriority w:val="0"/>
  </w:style>
  <w:style w:type="paragraph" w:customStyle="1" w:styleId="22">
    <w:name w:val="B2"/>
    <w:basedOn w:val="7"/>
    <w:qFormat/>
    <w:uiPriority w:val="0"/>
  </w:style>
  <w:style w:type="paragraph" w:customStyle="1" w:styleId="23">
    <w:name w:val="Doc-text2"/>
    <w:basedOn w:val="1"/>
    <w:qFormat/>
    <w:uiPriority w:val="0"/>
    <w:pPr>
      <w:widowControl/>
      <w:tabs>
        <w:tab w:val="left" w:pos="1622"/>
      </w:tabs>
      <w:ind w:left="1622" w:hanging="363"/>
      <w:jc w:val="left"/>
    </w:pPr>
    <w:rPr>
      <w:rFonts w:ascii="Arial" w:hAnsi="Arial" w:eastAsia="MS Mincho"/>
      <w:szCs w:val="24"/>
      <w:lang w:val="en-GB" w:eastAsia="en-GB"/>
    </w:rPr>
  </w:style>
  <w:style w:type="paragraph" w:customStyle="1" w:styleId="24">
    <w:name w:val="Doc-title"/>
    <w:basedOn w:val="1"/>
    <w:next w:val="23"/>
    <w:qFormat/>
    <w:uiPriority w:val="0"/>
    <w:pPr>
      <w:spacing w:before="60"/>
      <w:ind w:left="1259" w:hanging="1259"/>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183298\AppData\Roaming\Microsoft\Templates\&#31192;&#23494;.dotx" TargetMode="Externa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秘密.dotx</Template>
  <Company>zte</Company>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2017-07-26T08:10:00Z</dcterms:created>
  <dc:creator>H</dc:creator>
  <cp:lastModifiedBy>ZTE_LYS</cp:lastModifiedBy>
  <cp:lastPrinted>2113-01-01T00:00:00Z</cp:lastPrinted>
  <dcterms:modified xsi:type="dcterms:W3CDTF">2020-02-18T00:44:23Z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